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Spousal Open Work Permit: 2026 Service Page Model</w:t>
      </w:r>
    </w:p>
    <w:p>
      <w:pPr/>
      <w:r>
        <w:t xml:space="preserve">Oct 3, 2026</w:t>
      </w:r>
      <w:r>
        <w:t xml:space="preserve"> · </w:t>
      </w:r>
      <w:r>
        <w:t xml:space="preserve">@Sina Kiamehr</w:t>
      </w:r>
    </w:p>
    <w:p>
      <w:pPr/>
      <w:r>
        <w:t xml:space="preserve">This is one service rebuilt for how people find and choose a consultant in 2026: a snippet-ready answer up top, a scannable eligibility table, the judgment a reader cannot get from canada.ca, an FAQ block, a clear next step, and developer notes with the schema markup. Use it as the pattern for the other services.</w:t>
      </w:r>
    </w:p>
    <w:p>
      <w:pPr>
        <w:pStyle w:val="Heading2"/>
      </w:pPr>
      <w:r>
        <w:t xml:space="preserve">Spousal Open Work Permit in Canada</w:t>
      </w:r>
    </w:p>
    <w:p>
      <w:pPr/>
      <w:r>
        <w:rPr>
          <w:b/>
        </w:rPr>
        <w:t xml:space="preserve">The one-line answer (for AI and snippets):</w:t>
      </w:r>
      <w:r>
        <w:t xml:space="preserve"> A spousal open work permit lets the spouse or common-law partner of an eligible worker or student work for almost any employer in Canada, with no job offer and no LMIA. Since January 2025, it is no longer automatic: eligibility now depends on the principal applicant's occupation or study program.</w:t>
      </w:r>
    </w:p>
    <w:p>
      <w:pPr/>
      <w:r>
        <w:t xml:space="preserve">That last sentence is where most people get caught. The permit itself has not changed much, but who qualifies has narrowed sharply in the last two years, and an application built on the old rules gets refused. Before you apply, the real question is not how to fill the form. It is whether your family qualifies at all, and under which of three different routes.</w:t>
      </w:r>
    </w:p>
    <w:p>
      <w:pPr/>
      <w:r>
        <w:t xml:space="preserve">We start every spousal work permit file by answering that question honestly, so you are not paying to submit an application that was never going to succeed.</w:t>
      </w:r>
    </w:p>
    <w:p>
      <w:pPr>
        <w:pStyle w:val="Heading2"/>
      </w:pPr>
      <w:r>
        <w:t xml:space="preserve">Who qualifies in 2026</w:t>
      </w:r>
    </w:p>
    <w:p>
      <w:pPr/>
      <w:r>
        <w:t xml:space="preserve">There are three routes, and yours depends entirely on your partner's situation.</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If your partner is</w:t>
            </w:r>
          </w:p>
        </w:tc>
        <w:tc>
          <w:tcPr>
            <w:tcW w:w="3120" w:type="dxa"/>
            <w:shd w:val="clear" w:color="auto" w:fill="F2F2F2"/>
          </w:tcPr>
          <w:p>
            <w:pPr/>
            <w:r>
              <w:t xml:space="preserve">What must be true in 2026</w:t>
            </w:r>
          </w:p>
        </w:tc>
        <w:tc>
          <w:tcPr>
            <w:tcW w:w="3120" w:type="dxa"/>
            <w:shd w:val="clear" w:color="auto" w:fill="F2F2F2"/>
          </w:tcPr>
          <w:p>
            <w:pPr/>
            <w:r>
              <w:t xml:space="preserve">Spousal open work permit?</w:t>
            </w:r>
          </w:p>
        </w:tc>
      </w:tr>
      <w:tr>
        <w:tc>
          <w:tcPr>
            <w:tcW w:w="3120" w:type="dxa"/>
          </w:tcPr>
          <w:p>
            <w:pPr/>
            <w:r>
              <w:t xml:space="preserve">A foreign worker</w:t>
            </w:r>
          </w:p>
        </w:tc>
        <w:tc>
          <w:tcPr>
            <w:tcW w:w="3120" w:type="dxa"/>
          </w:tcPr>
          <w:p>
            <w:pPr/>
            <w:r>
              <w:t xml:space="preserve">Works in a TEER 0 or 1 occupation, or a select TEER 2 or 3 job on IRCC's current list, and holds a permit valid at least 16 months after you apply</w:t>
            </w:r>
          </w:p>
        </w:tc>
        <w:tc>
          <w:tcPr>
            <w:tcW w:w="3120" w:type="dxa"/>
          </w:tcPr>
          <w:p>
            <w:pPr/>
            <w:r>
              <w:t xml:space="preserve">Yes, if the occupation qualifies</w:t>
            </w:r>
          </w:p>
        </w:tc>
      </w:tr>
      <w:tr>
        <w:tc>
          <w:tcPr>
            <w:tcW w:w="3120" w:type="dxa"/>
          </w:tcPr>
          <w:p>
            <w:pPr/>
            <w:r>
              <w:t xml:space="preserve">An international student</w:t>
            </w:r>
          </w:p>
        </w:tc>
        <w:tc>
          <w:tcPr>
            <w:tcW w:w="3120" w:type="dxa"/>
          </w:tcPr>
          <w:p>
            <w:pPr/>
            <w:r>
              <w:t xml:space="preserve">Enrolled full time in a master's program of 16 months or longer, a doctoral program, or a listed professional program at a designated learning institution</w:t>
            </w:r>
          </w:p>
        </w:tc>
        <w:tc>
          <w:tcPr>
            <w:tcW w:w="3120" w:type="dxa"/>
          </w:tcPr>
          <w:p>
            <w:pPr/>
            <w:r>
              <w:t xml:space="preserve">Yes, for those program levels</w:t>
            </w:r>
          </w:p>
        </w:tc>
      </w:tr>
      <w:tr>
        <w:tc>
          <w:tcPr>
            <w:tcW w:w="3120" w:type="dxa"/>
          </w:tcPr>
          <w:p>
            <w:pPr/>
            <w:r>
              <w:t xml:space="preserve">Being sponsored for permanent residence (spouse in Canada)</w:t>
            </w:r>
          </w:p>
        </w:tc>
        <w:tc>
          <w:tcPr>
            <w:tcW w:w="3120" w:type="dxa"/>
          </w:tcPr>
          <w:p>
            <w:pPr/>
            <w:r>
              <w:t xml:space="preserve">You are the sponsored partner in an in-Canada spousal sponsorship</w:t>
            </w:r>
          </w:p>
        </w:tc>
        <w:tc>
          <w:tcPr>
            <w:tcW w:w="3120" w:type="dxa"/>
          </w:tcPr>
          <w:p>
            <w:pPr/>
            <w:r>
              <w:t xml:space="preserve">Yes, with the PR application or after the acknowledgment of receipt</w:t>
            </w:r>
          </w:p>
        </w:tc>
      </w:tr>
    </w:tbl>
    <w:p>
      <w:pPr/>
      <w:r>
        <w:t xml:space="preserve">A few points that decide more cases than people expect:</w:t>
      </w:r>
    </w:p>
    <w:p>
      <w:pPr>
        <w:pStyle w:val="ListParagraph"/>
        <w:numPr>
          <w:ilvl w:val="0"/>
          <w:numId w:val="2"/>
        </w:numPr>
      </w:pPr>
      <w:r>
        <w:t xml:space="preserve">Dependent children are no longer covered under the worker route. As of 2026, only the spouse or common-law partner can apply on that basis.</w:t>
      </w:r>
    </w:p>
    <w:p>
      <w:pPr>
        <w:pStyle w:val="ListParagraph"/>
        <w:numPr>
          <w:ilvl w:val="0"/>
          <w:numId w:val="2"/>
        </w:numPr>
      </w:pPr>
      <w:r>
        <w:t xml:space="preserve">Spouses of workers in TEER 4 or 5 jobs, and spouses of undergraduate or college-diploma students, generally no longer qualify under the standard route.</w:t>
      </w:r>
    </w:p>
    <w:p>
      <w:pPr>
        <w:pStyle w:val="ListParagraph"/>
        <w:numPr>
          <w:ilvl w:val="0"/>
          <w:numId w:val="2"/>
        </w:numPr>
      </w:pPr>
      <w:r>
        <w:t xml:space="preserve">The select TEER 2 and 3 occupation list and the eligible study-program list both change. The exact NOC code or program has to be checked against the current IRCC list before you rely on it.</w:t>
      </w:r>
    </w:p>
    <w:p>
      <w:pPr>
        <w:pStyle w:val="ListParagraph"/>
        <w:numPr>
          <w:ilvl w:val="0"/>
          <w:numId w:val="2"/>
        </w:numPr>
      </w:pPr>
      <w:r>
        <w:t xml:space="preserve">Different and often broader conditions can apply where the worker is on a pathway to permanent residence, is covered by a free-trade agreement such as CUSMA or an intra-company transfer, or falls under a current special measure.</w:t>
      </w:r>
    </w:p>
    <w:p>
      <w:pPr/>
      <w:r>
        <w:t xml:space="preserve">If your situation does not fit any of the three, there are usually still options worth checking, and we would rather tell you that at the start than after a refusal.</w:t>
      </w:r>
    </w:p>
    <w:p>
      <w:pPr>
        <w:pStyle w:val="Heading2"/>
      </w:pPr>
      <w:r>
        <w:t xml:space="preserve">Where these applications go wrong</w:t>
      </w:r>
    </w:p>
    <w:p>
      <w:pPr/>
      <w:r>
        <w:t xml:space="preserve">Most refused spousal work permits we see fail for a handful of avoidable reasons:</w:t>
      </w:r>
    </w:p>
    <w:p>
      <w:pPr>
        <w:pStyle w:val="ListParagraph"/>
        <w:numPr>
          <w:ilvl w:val="0"/>
          <w:numId w:val="3"/>
        </w:numPr>
      </w:pPr>
      <w:r>
        <w:t xml:space="preserve">Applying on the old assumption that any worker's spouse qualifies, when the NOC code printed on the permit is TEER 2, 3, 4, or 5 and not on the eligible list.</w:t>
      </w:r>
    </w:p>
    <w:p>
      <w:pPr>
        <w:pStyle w:val="ListParagraph"/>
        <w:numPr>
          <w:ilvl w:val="0"/>
          <w:numId w:val="3"/>
        </w:numPr>
      </w:pPr>
      <w:r>
        <w:t xml:space="preserve">The 16-month trap. The occupation qualifies, but the principal's permit has less than 16 months left when the spouse applies, so it is refused anyway.</w:t>
      </w:r>
    </w:p>
    <w:p>
      <w:pPr>
        <w:pStyle w:val="ListParagraph"/>
        <w:numPr>
          <w:ilvl w:val="0"/>
          <w:numId w:val="3"/>
        </w:numPr>
      </w:pPr>
      <w:r>
        <w:t xml:space="preserve">A permit that shows a lower TEER code than the work actually involves. The spouse is stuck with the code on the permit, and fixing that usually means addressing the principal's permit first.</w:t>
      </w:r>
    </w:p>
    <w:p>
      <w:pPr>
        <w:pStyle w:val="ListParagraph"/>
        <w:numPr>
          <w:ilvl w:val="0"/>
          <w:numId w:val="3"/>
        </w:numPr>
      </w:pPr>
      <w:r>
        <w:t xml:space="preserve">PGWP holders assuming the student route still applies. Once your partner graduates, that door closes, and eligibility shifts to the TEER level of their PGWP job.</w:t>
      </w:r>
    </w:p>
    <w:p>
      <w:pPr>
        <w:pStyle w:val="ListParagraph"/>
        <w:numPr>
          <w:ilvl w:val="0"/>
          <w:numId w:val="3"/>
        </w:numPr>
      </w:pPr>
      <w:r>
        <w:t xml:space="preserve">Timing against a pending extension, so the spouse's application and the principal's status fall out of step.</w:t>
      </w:r>
    </w:p>
    <w:p>
      <w:pPr>
        <w:pStyle w:val="ListParagraph"/>
        <w:numPr>
          <w:ilvl w:val="0"/>
          <w:numId w:val="3"/>
        </w:numPr>
      </w:pPr>
      <w:r>
        <w:t xml:space="preserve">Asking for too long a permit. A spousal permit is normally tied to the principal's permit and the passport expiry, and overreaching can cost you status.</w:t>
      </w:r>
    </w:p>
    <w:p>
      <w:pPr/>
      <w:r>
        <w:t xml:space="preserve">None of these show up on the application form. They come from reading the file the way an officer will.</w:t>
      </w:r>
    </w:p>
    <w:p>
      <w:pPr>
        <w:pStyle w:val="Heading2"/>
      </w:pPr>
      <w:r>
        <w:t xml:space="preserve">How we work the file</w:t>
      </w:r>
    </w:p>
    <w:p>
      <w:pPr/>
      <w:r>
        <w:t xml:space="preserve">We confirm the route and check the exact NOC code or study program against the current IRCC list before any documents are prepared. We run the 16-month math and review the principal's status and expiry dates. Then we assemble the proof that actually carries the application, such as an employment letter and pay stubs showing the qualifying job and its TEER level, or an enrolment letter for a qualifying program, together with your relationship evidence. We time the submission to the principal's permit so your work authorization runs as long as it can, then file and monitor it.</w:t>
      </w:r>
    </w:p>
    <w:p>
      <w:pPr/>
      <w:r>
        <w:t xml:space="preserve">A typical file runs in four stages:</w:t>
      </w:r>
    </w:p>
    <w:p>
      <w:pPr>
        <w:pStyle w:val="ListParagraph"/>
        <w:numPr>
          <w:ilvl w:val="0"/>
          <w:numId w:val="4"/>
        </w:numPr>
      </w:pPr>
      <w:r>
        <w:t xml:space="preserve">Eligibility assessment, where we confirm the route and catch any problem before you spend on the rest.</w:t>
      </w:r>
    </w:p>
    <w:p>
      <w:pPr>
        <w:pStyle w:val="ListParagraph"/>
        <w:numPr>
          <w:ilvl w:val="0"/>
          <w:numId w:val="4"/>
        </w:numPr>
      </w:pPr>
      <w:r>
        <w:t xml:space="preserve">Document preparation, usually one to two weeks depending on how quickly employment or enrolment proof comes in.</w:t>
      </w:r>
    </w:p>
    <w:p>
      <w:pPr>
        <w:pStyle w:val="ListParagraph"/>
        <w:numPr>
          <w:ilvl w:val="0"/>
          <w:numId w:val="4"/>
        </w:numPr>
      </w:pPr>
      <w:r>
        <w:t xml:space="preserve">Submission, timed to the principal's status.</w:t>
      </w:r>
    </w:p>
    <w:p>
      <w:pPr>
        <w:pStyle w:val="ListParagraph"/>
        <w:numPr>
          <w:ilvl w:val="0"/>
          <w:numId w:val="4"/>
        </w:numPr>
      </w:pPr>
      <w:r>
        <w:t xml:space="preserve">IRCC processing, which varies by office and season. We give you the current estimate at filing rather than a number that dates on this page.</w:t>
      </w:r>
    </w:p>
    <w:p>
      <w:pPr>
        <w:pStyle w:val="Heading2"/>
      </w:pPr>
      <w:r>
        <w:t xml:space="preserve">Frequently asked questions</w:t>
      </w:r>
    </w:p>
    <w:p>
      <w:pPr/>
      <w:r>
        <w:rPr>
          <w:b/>
        </w:rPr>
        <w:t xml:space="preserve">Does my spouse automatically qualify if I hold a Canadian work permit?</w:t>
      </w:r>
      <w:r>
        <w:t xml:space="preserve"> No. Since January 2025 it depends on your occupation. You generally need a TEER 0 or 1 job, or a select TEER 2 or 3 job on IRCC's current list, with at least 16 months left on your permit when your spouse applies.</w:t>
      </w:r>
    </w:p>
    <w:p>
      <w:pPr/>
      <w:r>
        <w:rPr>
          <w:b/>
        </w:rPr>
        <w:t xml:space="preserve">My partner is an undergraduate or college student. Can I get a spousal open work permit?</w:t>
      </w:r>
      <w:r>
        <w:t xml:space="preserve"> Generally no. The student route now covers master's programs of 16 months or longer, doctoral programs, and listed professional programs, not typical undergraduate degrees or college diplomas.</w:t>
      </w:r>
    </w:p>
    <w:p>
      <w:pPr/>
      <w:r>
        <w:rPr>
          <w:b/>
        </w:rPr>
        <w:t xml:space="preserve">My spouse works in retail or a warehouse. Do I qualify?</w:t>
      </w:r>
      <w:r>
        <w:t xml:space="preserve"> Usually not under the standard route, because those jobs tend to fall in TEER 4 or 5, which are outside the eligible levels. Depending on your situation there may still be other options, which is worth a quick check before you rule it out.</w:t>
      </w:r>
    </w:p>
    <w:p>
      <w:pPr/>
      <w:r>
        <w:rPr>
          <w:b/>
        </w:rPr>
        <w:t xml:space="preserve">How long will my spousal open work permit last?</w:t>
      </w:r>
      <w:r>
        <w:t xml:space="preserve"> It is normally tied to your partner's permit and cannot run past it, or past your passport expiry. That is why the timing of the application matters.</w:t>
      </w:r>
    </w:p>
    <w:p>
      <w:pPr/>
      <w:r>
        <w:rPr>
          <w:b/>
        </w:rPr>
        <w:t xml:space="preserve">Does it matter whether my partner's permit is LMIA-based or LMIA-exempt?</w:t>
      </w:r>
      <w:r>
        <w:t xml:space="preserve"> No. The type of permit does not affect your eligibility. What matters is the TEER level of the occupation on it.</w:t>
      </w:r>
    </w:p>
    <w:p>
      <w:pPr/>
      <w:r>
        <w:rPr>
          <w:b/>
        </w:rPr>
        <w:t xml:space="preserve">We are common-law partners, not married. Can we still apply?</w:t>
      </w:r>
      <w:r>
        <w:t xml:space="preserve"> Yes, if you meet the definition of common-law partners, which generally means living together in a conjugal relationship for at least 12 consecutive months, with evidence to support it.</w:t>
      </w:r>
    </w:p>
    <w:p>
      <w:pPr>
        <w:pStyle w:val="Heading2"/>
      </w:pPr>
      <w:r>
        <w:t xml:space="preserve">Your next step</w:t>
      </w:r>
    </w:p>
    <w:p>
      <w:pPr/>
      <w:r>
        <w:t xml:space="preserve">A short paid assessment is the fastest way to know where you stand. In it we confirm which route applies to you, check the occupation or program against the current list, run the 16-month timing, and tell you plainly whether to proceed and how. If a route does not fit, you leave knowing that too, before spending on an application.</w:t>
      </w:r>
    </w:p>
    <w:p>
      <w:pPr/>
      <w:r>
        <w:t xml:space="preserve">[Book an assessment] and [Message us on WhatsApp] (these become buttons on the live page).</w:t>
      </w:r>
    </w:p>
    <w:p>
      <w:pPr>
        <w:pStyle w:val="Heading3"/>
      </w:pPr>
      <w:r>
        <w:t xml:space="preserve">Who you are working with</w:t>
      </w:r>
    </w:p>
    <w:p>
      <w:pPr/>
      <w:r>
        <w:t xml:space="preserve">Prepared and handled by Sina Kiamehr, a Regulated Canadian Immigration Consultant with IRB accreditation (RCIC-IRB), CICC registration no. R532775, with around seven years of practice across work permits, Express Entry, and complex immigration files. You can verify this registration on the CICC public register.</w:t>
      </w:r>
    </w:p>
    <w:p>
      <w:pPr>
        <w:pStyle w:val="Heading2"/>
      </w:pPr>
      <w:r>
        <w:t xml:space="preserve">Developer and SEO build notes</w:t>
      </w:r>
    </w:p>
    <w:p>
      <w:pPr/>
      <w:r>
        <w:t xml:space="preserve">Treat the copy above as a page in its own right, not a section of a long list. These notes are what make it rank and get picked up by AI answer engines.</w:t>
      </w:r>
    </w:p>
    <w:p>
      <w:pPr/>
      <w:r>
        <w:rPr>
          <w:b/>
        </w:rPr>
        <w:t xml:space="preserve">URL and metadata</w:t>
      </w:r>
    </w:p>
    <w:p>
      <w:pPr>
        <w:pStyle w:val="ListParagraph"/>
        <w:numPr>
          <w:ilvl w:val="0"/>
          <w:numId w:val="5"/>
        </w:numPr>
      </w:pPr>
      <w:r>
        <w:t xml:space="preserve">Slug: /spousal-open-work-permit, short and keyword-first.</w:t>
      </w:r>
    </w:p>
    <w:p>
      <w:pPr>
        <w:pStyle w:val="ListParagraph"/>
        <w:numPr>
          <w:ilvl w:val="0"/>
          <w:numId w:val="5"/>
        </w:numPr>
      </w:pPr>
      <w:r>
        <w:t xml:space="preserve">Title tag (about 60 characters): Spousal Open Work Permit in Canada | Visazone Immigration</w:t>
      </w:r>
    </w:p>
    <w:p>
      <w:pPr>
        <w:pStyle w:val="ListParagraph"/>
        <w:numPr>
          <w:ilvl w:val="0"/>
          <w:numId w:val="5"/>
        </w:numPr>
      </w:pPr>
      <w:r>
        <w:t xml:space="preserve">Meta description (about 155 characters): Who qualifies for a Canadian spousal open work permit in 2026, the three routes, the common reasons for refusal, and how to apply. RCIC-IRB guidance.</w:t>
      </w:r>
    </w:p>
    <w:p>
      <w:pPr/>
      <w:r>
        <w:rPr>
          <w:b/>
        </w:rPr>
        <w:t xml:space="preserve">On-page structure</w:t>
      </w:r>
    </w:p>
    <w:p>
      <w:pPr>
        <w:pStyle w:val="ListParagraph"/>
        <w:numPr>
          <w:ilvl w:val="0"/>
          <w:numId w:val="6"/>
        </w:numPr>
      </w:pPr>
      <w:r>
        <w:t xml:space="preserve">One H1, the service name. H2 for each block, H3 for the author and sub-points. Keep the one-line answer as the first paragraph so it can be lifted into a featured snippet or AI overview.</w:t>
      </w:r>
    </w:p>
    <w:p>
      <w:pPr>
        <w:pStyle w:val="ListParagraph"/>
        <w:numPr>
          <w:ilvl w:val="0"/>
          <w:numId w:val="6"/>
        </w:numPr>
      </w:pPr>
      <w:r>
        <w:t xml:space="preserve">Internal links: from here to Employer-Specific Work Permit, Spousal and Common-Law Partner Sponsorship, and Business and LMIA-Exempt Work, and link back from each of those. Internal links are part of how Google and AI tools map your site.</w:t>
      </w:r>
    </w:p>
    <w:p>
      <w:pPr>
        <w:pStyle w:val="ListParagraph"/>
        <w:numPr>
          <w:ilvl w:val="0"/>
          <w:numId w:val="6"/>
        </w:numPr>
      </w:pPr>
      <w:r>
        <w:t xml:space="preserve">Keep volatile facts, the TEER and program lists, behind a line pointing to the current IRCC page, so the page stays evergreen.</w:t>
      </w:r>
    </w:p>
    <w:p>
      <w:pPr/>
      <w:r>
        <w:rPr>
          <w:b/>
        </w:rPr>
        <w:t xml:space="preserve">Schema markup, paste-ready</w:t>
      </w:r>
    </w:p>
    <w:p>
      <w:pPr/>
      <w:r>
        <w:t xml:space="preserve">Add this as a script in the page. It covers the service, the FAQ, the provider, and the author. Replace the URL and address placeholders with your live values, and keep the FAQ text identical to the FAQ on the page or Google may ignore it.</w:t>
      </w:r>
    </w:p>
    <w:p>
      <w:pPr>
        <w:pStyle w:val="Code"/>
      </w:pPr>
      <w:bookmarkStart w:id="1" w:name="bongo_lang_html_1"/>
      <w:bookmarkEnd w:id="1"/>
      <w:r>
        <w:t xml:space="preserve">&lt;script type="application/ld+json"&gt;</w:t>
        <w:br/>
        <w:t xml:space="preserve">{</w:t>
        <w:br/>
        <w:t xml:space="preserve">  "@context": "https://schema.org",</w:t>
        <w:br/>
        <w:t xml:space="preserve">  "@graph": [</w:t>
        <w:br/>
        <w:t xml:space="preserve">    {</w:t>
        <w:br/>
        <w:t xml:space="preserve">      "@type": "ProfessionalService",</w:t>
        <w:br/>
        <w:t xml:space="preserve">      "@id": "https://visazone.ca/#business",</w:t>
        <w:br/>
        <w:t xml:space="preserve">      "name": "Visazone Immigration Inc.",</w:t>
        <w:br/>
        <w:t xml:space="preserve">      "url": "https://visazone.ca",</w:t>
        <w:br/>
        <w:t xml:space="preserve">      "telephone": "+1-647-382-7200",</w:t>
        <w:br/>
        <w:t xml:space="preserve">      "areaServed": "CA",</w:t>
        <w:br/>
        <w:t xml:space="preserve">      "address": {</w:t>
        <w:br/>
        <w:t xml:space="preserve">        "@type": "PostalAddress",</w:t>
        <w:br/>
        <w:t xml:space="preserve">        "streetAddress": "33 Sheppard Ave",</w:t>
        <w:br/>
        <w:t xml:space="preserve">        "addressLocality": "North York",</w:t>
        <w:br/>
        <w:t xml:space="preserve">        "addressRegion": "ON",</w:t>
        <w:br/>
        <w:t xml:space="preserve">        "addressCountry": "CA"</w:t>
        <w:br/>
        <w:t xml:space="preserve">      }</w:t>
        <w:br/>
        <w:t xml:space="preserve">    },</w:t>
        <w:br/>
        <w:t xml:space="preserve">    {</w:t>
        <w:br/>
        <w:t xml:space="preserve">      "@type": "Service",</w:t>
        <w:br/>
        <w:t xml:space="preserve">      "name": "Spousal Open Work Permit",</w:t>
        <w:br/>
        <w:t xml:space="preserve">      "serviceType": "Immigration consulting",</w:t>
        <w:br/>
        <w:t xml:space="preserve">      "areaServed": "CA",</w:t>
        <w:br/>
        <w:t xml:space="preserve">      "url": "https://visazone.ca/spousal-open-work-permit",</w:t>
        <w:br/>
        <w:t xml:space="preserve">      "provider": { "@id": "https://visazone.ca/#business" }</w:t>
        <w:br/>
        <w:t xml:space="preserve">    },</w:t>
        <w:br/>
        <w:t xml:space="preserve">    {</w:t>
        <w:br/>
        <w:t xml:space="preserve">      "@type": "Person",</w:t>
        <w:br/>
        <w:t xml:space="preserve">      "name": "Sina Kiamehr",</w:t>
        <w:br/>
        <w:t xml:space="preserve">      "jobTitle": "Regulated Canadian Immigration Consultant (RCIC-IRB)",</w:t>
        <w:br/>
        <w:t xml:space="preserve">      "identifier": "R532775",</w:t>
        <w:br/>
        <w:t xml:space="preserve">      "worksFor": { "@id": "https://visazone.ca/#business" }</w:t>
        <w:br/>
        <w:t xml:space="preserve">    },</w:t>
        <w:br/>
        <w:t xml:space="preserve">    {</w:t>
        <w:br/>
        <w:t xml:space="preserve">      "@type": "FAQPage",</w:t>
        <w:br/>
        <w:t xml:space="preserve">      "mainEntity": [</w:t>
        <w:br/>
        <w:t xml:space="preserve">        {</w:t>
        <w:br/>
        <w:t xml:space="preserve">          "@type": "Question",</w:t>
        <w:br/>
        <w:t xml:space="preserve">          "name": "Does my spouse automatically qualify if I hold a Canadian work permit?",</w:t>
        <w:br/>
        <w:t xml:space="preserve">          "acceptedAnswer": { "@type": "Answer", "text": "No. Since January 2025 it depends on your occupation. You generally need a TEER 0 or 1 job, or a select TEER 2 or 3 job on IRCC's current list, with at least 16 months left on your permit when your spouse applies." }</w:t>
        <w:br/>
        <w:t xml:space="preserve">        },</w:t>
        <w:br/>
        <w:t xml:space="preserve">        {</w:t>
        <w:br/>
        <w:t xml:space="preserve">          "@type": "Question",</w:t>
        <w:br/>
        <w:t xml:space="preserve">          "name": "My partner is an undergraduate or college student. Can I get a spousal open work permit?",</w:t>
        <w:br/>
        <w:t xml:space="preserve">          "acceptedAnswer": { "@type": "Answer", "text": "Generally no. The student route now covers master's programs of 16 months or longer, doctoral programs, and listed professional programs, not typical undergraduate degrees or college diplomas." }</w:t>
        <w:br/>
        <w:t xml:space="preserve">        },</w:t>
        <w:br/>
        <w:t xml:space="preserve">        {</w:t>
        <w:br/>
        <w:t xml:space="preserve">          "@type": "Question",</w:t>
        <w:br/>
        <w:t xml:space="preserve">          "name": "My spouse works in retail or a warehouse. Do I qualify?",</w:t>
        <w:br/>
        <w:t xml:space="preserve">          "acceptedAnswer": { "@type": "Answer", "text": "Usually not under the standard route, because those jobs tend to fall in TEER 4 or 5, which are outside the eligible levels. Depending on your situation there may still be other options." }</w:t>
        <w:br/>
        <w:t xml:space="preserve">        },</w:t>
        <w:br/>
        <w:t xml:space="preserve">        {</w:t>
        <w:br/>
        <w:t xml:space="preserve">          "@type": "Question",</w:t>
        <w:br/>
        <w:t xml:space="preserve">          "name": "How long will my spousal open work permit last?",</w:t>
        <w:br/>
        <w:t xml:space="preserve">          "acceptedAnswer": { "@type": "Answer", "text": "It is normally tied to your partner's permit and cannot run past it, or past your passport expiry. That is why the timing of the application matters." }</w:t>
        <w:br/>
        <w:t xml:space="preserve">        },</w:t>
        <w:br/>
        <w:t xml:space="preserve">        {</w:t>
        <w:br/>
        <w:t xml:space="preserve">          "@type": "Question",</w:t>
        <w:br/>
        <w:t xml:space="preserve">          "name": "Does it matter whether my partner's permit is LMIA-based or LMIA-exempt?",</w:t>
        <w:br/>
        <w:t xml:space="preserve">          "acceptedAnswer": { "@type": "Answer", "text": "No. The type of permit does not affect your eligibility. What matters is the TEER level of the occupation on it." }</w:t>
        <w:br/>
        <w:t xml:space="preserve">        },</w:t>
        <w:br/>
        <w:t xml:space="preserve">        {</w:t>
        <w:br/>
        <w:t xml:space="preserve">          "@type": "Question",</w:t>
        <w:br/>
        <w:t xml:space="preserve">          "name": "We are common-law partners, not married. Can we still apply?",</w:t>
        <w:br/>
        <w:t xml:space="preserve">          "acceptedAnswer": { "@type": "Answer", "text": "Yes, if you meet the definition of common-law partners, which generally means living together in a conjugal relationship for at least 12 consecutive months, with evidence to support it." }</w:t>
        <w:br/>
        <w:t xml:space="preserve">        }</w:t>
        <w:br/>
        <w:t xml:space="preserve">      ]</w:t>
        <w:br/>
        <w:t xml:space="preserve">    }</w:t>
        <w:br/>
        <w:t xml:space="preserve">  ]</w:t>
        <w:br/>
        <w:t xml:space="preserve">}</w:t>
        <w:br/>
        <w:t xml:space="preserve">&lt;/script&gt;</w:t>
      </w:r>
    </w:p>
    <w:p>
      <w:pPr/>
      <w:r>
        <w:t xml:space="preserve">One thing worth doing site-wide, not just here: put the same ProfessionalService and Person schema on your home page or footer, and add a BreadcrumbList to each service page. That gives Google and AI tools one consistent identity for the firm and for you.</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1"/>
    <w:lvlOverride w:ilvl="0">
      <w:startOverride w:val="1"/>
    </w:lvlOverride>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Spousal Open Work Permit 2026 Service Page Model</dc:title>
  <dc:description>Claude Docs node/645e2608-0527@7 docx-w6</dc:description>
  <cp:revision>7</cp:revision>
</cp:coreProperties>
</file>