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Permanent Residence Service Pages: 2026 Build</w:t>
      </w:r>
    </w:p>
    <w:p>
      <w:pPr/>
      <w:r>
        <w:t xml:space="preserve">Oct 3, 2026</w:t>
      </w:r>
      <w:r>
        <w:t xml:space="preserve"> · </w:t>
      </w:r>
      <w:r>
        <w:t xml:space="preserve">@Sina Kiamehr</w:t>
      </w:r>
    </w:p>
    <w:p>
      <w:pPr/>
      <w:r>
        <w:t xml:space="preserve">These follow the Spousal Open Work Permit model. Each page carries the site-wide ProfessionalService and Person schema and a FAQPage schema built from its own FAQ, so the build notes stay short. The Express Entry category list, PNP allocations, and the Parents and Grandparents intake status all change through the year, so reconfirm anything marked current against canada.ca at build time.</w:t>
      </w:r>
    </w:p>
    <w:p>
      <w:pPr>
        <w:pStyle w:val="Heading2"/>
      </w:pPr>
      <w:r>
        <w:t xml:space="preserve">Express Entry</w:t>
      </w:r>
    </w:p>
    <w:p>
      <w:pPr/>
      <w:r>
        <w:rPr>
          <w:b/>
        </w:rPr>
        <w:t xml:space="preserve">The one-line answer:</w:t>
      </w:r>
      <w:r>
        <w:t xml:space="preserve"> Express Entry is Canada's system for managing skilled-worker permanent residence applications. You enter a pool, receive a Comprehensive Ranking System (CRS) score, and are invited to apply through general or category-based rounds.</w:t>
      </w:r>
    </w:p>
    <w:p>
      <w:pPr/>
      <w:r>
        <w:t xml:space="preserve">Being in the pool is not the same as being selected. Your score, the program you qualify under, and whether you match one of the targeted categories all shape your odds, and in 2026 category fit often matters as much as raw score.</w:t>
      </w:r>
    </w:p>
    <w:p>
      <w:pPr>
        <w:pStyle w:val="Heading3"/>
      </w:pPr>
      <w:r>
        <w:t xml:space="preserve">Key facts in 2026</w:t>
      </w:r>
    </w:p>
    <w:p>
      <w:pPr>
        <w:pStyle w:val="ListParagraph"/>
        <w:numPr>
          <w:ilvl w:val="0"/>
          <w:numId w:val="2"/>
        </w:numPr>
      </w:pPr>
      <w:r>
        <w:t xml:space="preserve">Three programs run through Express Entry: the Federal Skilled Worker Program, the Canadian Experience Class, and the Federal Skilled Trades Program.</w:t>
      </w:r>
    </w:p>
    <w:p>
      <w:pPr>
        <w:pStyle w:val="ListParagraph"/>
        <w:numPr>
          <w:ilvl w:val="0"/>
          <w:numId w:val="2"/>
        </w:numPr>
      </w:pPr>
      <w:r>
        <w:t xml:space="preserve">Invitations come through general rounds or category-based rounds that target specific occupations or attributes. For 2026, the targeted categories include healthcare and social services, STEM, trades, education, and French-language proficiency, plus newer categories such as physicians and researchers with Canadian experience, transport occupations, and skilled military recruits. The list is set annually, so confirm the current categories.</w:t>
      </w:r>
    </w:p>
    <w:p>
      <w:pPr>
        <w:pStyle w:val="ListParagraph"/>
        <w:numPr>
          <w:ilvl w:val="0"/>
          <w:numId w:val="2"/>
        </w:numPr>
      </w:pPr>
      <w:r>
        <w:t xml:space="preserve">Renewed categories for 2026 generally require at least one year of qualifying work experience, up from six months.</w:t>
      </w:r>
    </w:p>
    <w:p>
      <w:pPr>
        <w:pStyle w:val="ListParagraph"/>
        <w:numPr>
          <w:ilvl w:val="0"/>
          <w:numId w:val="2"/>
        </w:numPr>
      </w:pPr>
      <w:r>
        <w:t xml:space="preserve">Work done during full-time study usually does not count toward the Canadian Experience Class minimum.</w:t>
      </w:r>
    </w:p>
    <w:p>
      <w:pPr>
        <w:pStyle w:val="Heading3"/>
      </w:pPr>
      <w:r>
        <w:t xml:space="preserve">Where these applications go wrong</w:t>
      </w:r>
    </w:p>
    <w:p>
      <w:pPr>
        <w:pStyle w:val="ListParagraph"/>
        <w:numPr>
          <w:ilvl w:val="0"/>
          <w:numId w:val="3"/>
        </w:numPr>
      </w:pPr>
      <w:r>
        <w:t xml:space="preserve">Claiming an occupation whose duties do not match your lead statement, which can unravel at the PR stage or look like misrepresentation.</w:t>
      </w:r>
    </w:p>
    <w:p>
      <w:pPr>
        <w:pStyle w:val="ListParagraph"/>
        <w:numPr>
          <w:ilvl w:val="0"/>
          <w:numId w:val="3"/>
        </w:numPr>
      </w:pPr>
      <w:r>
        <w:t xml:space="preserve">Overstating work experience or language, then failing document verification after the invitation.</w:t>
      </w:r>
    </w:p>
    <w:p>
      <w:pPr>
        <w:pStyle w:val="ListParagraph"/>
        <w:numPr>
          <w:ilvl w:val="0"/>
          <w:numId w:val="3"/>
        </w:numPr>
      </w:pPr>
      <w:r>
        <w:t xml:space="preserve">Building a profile around score alone and missing a category you would actually qualify for.</w:t>
      </w:r>
    </w:p>
    <w:p>
      <w:pPr>
        <w:pStyle w:val="ListParagraph"/>
        <w:numPr>
          <w:ilvl w:val="0"/>
          <w:numId w:val="3"/>
        </w:numPr>
      </w:pPr>
      <w:r>
        <w:t xml:space="preserve">Letting the profile go stale, such as an expired language test or outdated details.</w:t>
      </w:r>
    </w:p>
    <w:p>
      <w:pPr>
        <w:pStyle w:val="ListParagraph"/>
        <w:numPr>
          <w:ilvl w:val="0"/>
          <w:numId w:val="3"/>
        </w:numPr>
      </w:pPr>
      <w:r>
        <w:t xml:space="preserve">Thin proof of funds for the Federal Skilled Worker Program, or unauthorized Canadian experience for the Canadian Experience Class.</w:t>
      </w:r>
    </w:p>
    <w:p>
      <w:pPr>
        <w:pStyle w:val="Heading3"/>
      </w:pPr>
      <w:r>
        <w:t xml:space="preserve">How we help</w:t>
      </w:r>
    </w:p>
    <w:p>
      <w:pPr/>
      <w:r>
        <w:t xml:space="preserve">We confirm the program and the occupation that genuinely match your duties, strengthen and verify the inputs that drive your CRS, and position you for the category draws you qualify for rather than waiting on the general cut-off. After an invitation, we handle the full permanent residence application, and we flag how changes in your work, study, or family affect the profile.</w:t>
      </w:r>
    </w:p>
    <w:p>
      <w:pPr>
        <w:pStyle w:val="Heading3"/>
      </w:pPr>
      <w:r>
        <w:t xml:space="preserve">FAQ</w:t>
      </w:r>
    </w:p>
    <w:p>
      <w:pPr/>
      <w:r>
        <w:rPr>
          <w:b/>
        </w:rPr>
        <w:t xml:space="preserve">What CRS score do I need?</w:t>
      </w:r>
      <w:r>
        <w:t xml:space="preserve"> There is no fixed number. It moves with each round, and category-based draws can invite candidates below the general cut-off.</w:t>
      </w:r>
    </w:p>
    <w:p>
      <w:pPr/>
      <w:r>
        <w:rPr>
          <w:b/>
        </w:rPr>
        <w:t xml:space="preserve">Does a job offer help my score?</w:t>
      </w:r>
      <w:r>
        <w:t xml:space="preserve"> It can, but the points for an arranged offer have changed, so category eligibility often matters more now.</w:t>
      </w:r>
    </w:p>
    <w:p>
      <w:pPr/>
      <w:r>
        <w:rPr>
          <w:b/>
        </w:rPr>
        <w:t xml:space="preserve">Can experience outside Canada count?</w:t>
      </w:r>
      <w:r>
        <w:t xml:space="preserve"> Yes, for the Federal Skilled Worker Program. The Canadian Experience Class needs authorized Canadian work experience.</w:t>
      </w:r>
    </w:p>
    <w:p>
      <w:pPr/>
      <w:r>
        <w:rPr>
          <w:b/>
        </w:rPr>
        <w:t xml:space="preserve">How long does it take after an invitation?</w:t>
      </w:r>
      <w:r>
        <w:t xml:space="preserve"> PR processing has a service standard but varies. We give you the current estimate at the time you apply.</w:t>
      </w:r>
    </w:p>
    <w:p>
      <w:pPr/>
      <w:r>
        <w:rPr>
          <w:b/>
        </w:rPr>
        <w:t xml:space="preserve">Do I need a consultant?</w:t>
      </w:r>
      <w:r>
        <w:t xml:space="preserve"> No, but the occupation choice and category strategy are where profiles are won or lost.</w:t>
      </w:r>
    </w:p>
    <w:p>
      <w:pPr>
        <w:pStyle w:val="Heading3"/>
      </w:pPr>
      <w:r>
        <w:t xml:space="preserve">Next step</w:t>
      </w:r>
    </w:p>
    <w:p>
      <w:pPr/>
      <w:r>
        <w:t xml:space="preserve">[Book an assessment] or [message us on WhatsApp] and we will estimate your CRS, confirm your best program, and map which category draws you can target.</w:t>
      </w:r>
    </w:p>
    <w:p>
      <w:pPr/>
      <w:r>
        <w:rPr>
          <w:i/>
        </w:rPr>
        <w:t xml:space="preserve">Build notes: slug /express-entry; title tag "Express Entry Canada 2026: Programs &amp; Category Draws | Visazone"; meta "How Express Entry works in 2026, the three programs, the current category-based draws, and the mistakes that cost candidates an invitation."; internal links to Provincial Nominee Program, Post-Graduation Work Permit, and Bridging Open Work Permit.</w:t>
      </w:r>
    </w:p>
    <w:p>
      <w:pPr>
        <w:pStyle w:val="Heading2"/>
      </w:pPr>
      <w:r>
        <w:t xml:space="preserve">Provincial Nominee Program (PNP)</w:t>
      </w:r>
    </w:p>
    <w:p>
      <w:pPr/>
      <w:r>
        <w:rPr>
          <w:b/>
        </w:rPr>
        <w:t xml:space="preserve">The one-line answer:</w:t>
      </w:r>
      <w:r>
        <w:t xml:space="preserve"> The Provincial Nominee Program lets provinces and territories nominate people whose skills fit their labour needs. A nomination is a major step toward permanent residence, but IRCC still makes the final decision.</w:t>
      </w:r>
    </w:p>
    <w:p>
      <w:pPr/>
      <w:r>
        <w:t xml:space="preserve">Every province and territory except Quebec and Nunavut runs a nominee program, each with its own streams and priorities. Choosing the right one, and acting when it opens, is most of the battle.</w:t>
      </w:r>
    </w:p>
    <w:p>
      <w:pPr>
        <w:pStyle w:val="Heading3"/>
      </w:pPr>
      <w:r>
        <w:t xml:space="preserve">Key facts in 2026</w:t>
      </w:r>
    </w:p>
    <w:p>
      <w:pPr>
        <w:pStyle w:val="ListParagraph"/>
        <w:numPr>
          <w:ilvl w:val="0"/>
          <w:numId w:val="4"/>
        </w:numPr>
      </w:pPr>
      <w:r>
        <w:t xml:space="preserve">Some streams run through Express Entry, where a nomination adds 600 CRS points and effectively guarantees an invitation. Others are separate from Express Entry and follow their own process.</w:t>
      </w:r>
    </w:p>
    <w:p>
      <w:pPr>
        <w:pStyle w:val="ListParagraph"/>
        <w:numPr>
          <w:ilvl w:val="0"/>
          <w:numId w:val="4"/>
        </w:numPr>
      </w:pPr>
      <w:r>
        <w:t xml:space="preserve">Allocations are set each year. They were cut sharply in 2025, then increased for 2026, but remain limited, and provinces now target priority occupations such as healthcare, skilled trades, and childcare. Confirm the current streams and priorities for your province.</w:t>
      </w:r>
    </w:p>
    <w:p>
      <w:pPr>
        <w:pStyle w:val="ListParagraph"/>
        <w:numPr>
          <w:ilvl w:val="0"/>
          <w:numId w:val="4"/>
        </w:numPr>
      </w:pPr>
      <w:r>
        <w:t xml:space="preserve">You must genuinely intend to settle in the nominating province.</w:t>
      </w:r>
    </w:p>
    <w:p>
      <w:pPr>
        <w:pStyle w:val="ListParagraph"/>
        <w:numPr>
          <w:ilvl w:val="0"/>
          <w:numId w:val="4"/>
        </w:numPr>
      </w:pPr>
      <w:r>
        <w:t xml:space="preserve">A nomination is not a guarantee of permanent residence.</w:t>
      </w:r>
    </w:p>
    <w:p>
      <w:pPr>
        <w:pStyle w:val="Heading3"/>
      </w:pPr>
      <w:r>
        <w:t xml:space="preserve">Where these applications go wrong</w:t>
      </w:r>
    </w:p>
    <w:p>
      <w:pPr>
        <w:pStyle w:val="ListParagraph"/>
        <w:numPr>
          <w:ilvl w:val="0"/>
          <w:numId w:val="5"/>
        </w:numPr>
      </w:pPr>
      <w:r>
        <w:t xml:space="preserve">Applying to a stream you do not genuinely fit, or without the connection to the province that the stream requires.</w:t>
      </w:r>
    </w:p>
    <w:p>
      <w:pPr>
        <w:pStyle w:val="ListParagraph"/>
        <w:numPr>
          <w:ilvl w:val="0"/>
          <w:numId w:val="5"/>
        </w:numPr>
      </w:pPr>
      <w:r>
        <w:t xml:space="preserve">Missing fast-moving draws or expression-of-interest windows. Some streams open and close quickly.</w:t>
      </w:r>
    </w:p>
    <w:p>
      <w:pPr>
        <w:pStyle w:val="ListParagraph"/>
        <w:numPr>
          <w:ilvl w:val="0"/>
          <w:numId w:val="5"/>
        </w:numPr>
      </w:pPr>
      <w:r>
        <w:t xml:space="preserve">Thin evidence of your intention to live in the province, or a job offer that does not meet the stream's rules.</w:t>
      </w:r>
    </w:p>
    <w:p>
      <w:pPr>
        <w:pStyle w:val="ListParagraph"/>
        <w:numPr>
          <w:ilvl w:val="0"/>
          <w:numId w:val="5"/>
        </w:numPr>
      </w:pPr>
      <w:r>
        <w:t xml:space="preserve">Targeting a province whose current priorities do not include your occupation.</w:t>
      </w:r>
    </w:p>
    <w:p>
      <w:pPr>
        <w:pStyle w:val="Heading3"/>
      </w:pPr>
      <w:r>
        <w:t xml:space="preserve">How we help</w:t>
      </w:r>
    </w:p>
    <w:p>
      <w:pPr/>
      <w:r>
        <w:t xml:space="preserve">We compare your profile against the streams that are actually open and realistic for you, track the draws and timing, and build the connection and intention evidence the province expects. We then prepare both the provincial submission and the federal permanent residence application that follows.</w:t>
      </w:r>
    </w:p>
    <w:p>
      <w:pPr>
        <w:pStyle w:val="Heading3"/>
      </w:pPr>
      <w:r>
        <w:t xml:space="preserve">FAQ</w:t>
      </w:r>
    </w:p>
    <w:p>
      <w:pPr/>
      <w:r>
        <w:rPr>
          <w:b/>
        </w:rPr>
        <w:t xml:space="preserve">Do I need a job offer?</w:t>
      </w:r>
      <w:r>
        <w:t xml:space="preserve"> Some streams require one, others do not. It depends on the province and the stream.</w:t>
      </w:r>
    </w:p>
    <w:p>
      <w:pPr/>
      <w:r>
        <w:rPr>
          <w:b/>
        </w:rPr>
        <w:t xml:space="preserve">Does a nomination guarantee permanent residence?</w:t>
      </w:r>
      <w:r>
        <w:t xml:space="preserve"> No. It is a major step, but IRCC makes the final decision.</w:t>
      </w:r>
    </w:p>
    <w:p>
      <w:pPr/>
      <w:r>
        <w:rPr>
          <w:b/>
        </w:rPr>
        <w:t xml:space="preserve">Can I move elsewhere after I am nominated?</w:t>
      </w:r>
      <w:r>
        <w:t xml:space="preserve"> You apply intending to live in the nominating province. Relocating right away can raise questions.</w:t>
      </w:r>
    </w:p>
    <w:p>
      <w:pPr/>
      <w:r>
        <w:rPr>
          <w:b/>
        </w:rPr>
        <w:t xml:space="preserve">Which province is easiest?</w:t>
      </w:r>
      <w:r>
        <w:t xml:space="preserve"> There is no single answer. It depends on your occupation, your ties, and each province's current allocation and priorities.</w:t>
      </w:r>
    </w:p>
    <w:p>
      <w:pPr/>
      <w:r>
        <w:rPr>
          <w:b/>
        </w:rPr>
        <w:t xml:space="preserve">How does it work with Express Entry?</w:t>
      </w:r>
      <w:r>
        <w:t xml:space="preserve"> An enhanced provincial nomination adds 600 CRS points, which effectively secures an invitation to apply.</w:t>
      </w:r>
    </w:p>
    <w:p>
      <w:pPr>
        <w:pStyle w:val="Heading3"/>
      </w:pPr>
      <w:r>
        <w:t xml:space="preserve">Next step</w:t>
      </w:r>
    </w:p>
    <w:p>
      <w:pPr/>
      <w:r>
        <w:t xml:space="preserve">[Book an assessment] or [message us on WhatsApp] and we will tell you which provincial streams are realistic for your profile right now.</w:t>
      </w:r>
    </w:p>
    <w:p>
      <w:pPr/>
      <w:r>
        <w:rPr>
          <w:i/>
        </w:rPr>
        <w:t xml:space="preserve">Build notes: slug /provincial-nominee-program-pnp; title tag "Provincial Nominee Program (PNP) Canada 2026 | Visazone"; meta "How the PNP works in 2026, Express Entry versus base streams, the allocation picture, and how to pick a province where you actually qualify."; internal links to Express Entry, Business &amp; LMIA-Exempt Work, and Employer-Specific Work Permit.</w:t>
      </w:r>
    </w:p>
    <w:p>
      <w:pPr>
        <w:pStyle w:val="Heading2"/>
      </w:pPr>
      <w:r>
        <w:t xml:space="preserve">Spousal &amp; Common-Law Partner Sponsorship</w:t>
      </w:r>
    </w:p>
    <w:p>
      <w:pPr/>
      <w:r>
        <w:rPr>
          <w:b/>
        </w:rPr>
        <w:t xml:space="preserve">The one-line answer:</w:t>
      </w:r>
      <w:r>
        <w:t xml:space="preserve"> A Canadian citizen or permanent resident can sponsor their spouse or common-law partner for permanent residence. The relationship has to be genuine, and the sponsor takes on a financial undertaking.</w:t>
      </w:r>
    </w:p>
    <w:p>
      <w:pPr/>
      <w:r>
        <w:t xml:space="preserve">The law is not complicated, but the evidence is where these applications are won or lost, and the choice between applying from inside or outside Canada has real consequences.</w:t>
      </w:r>
    </w:p>
    <w:p>
      <w:pPr>
        <w:pStyle w:val="Heading3"/>
      </w:pPr>
      <w:r>
        <w:t xml:space="preserve">Key facts</w:t>
      </w:r>
    </w:p>
    <w:p>
      <w:pPr>
        <w:pStyle w:val="ListParagraph"/>
        <w:numPr>
          <w:ilvl w:val="0"/>
          <w:numId w:val="6"/>
        </w:numPr>
      </w:pPr>
      <w:r>
        <w:t xml:space="preserve">There are two routes. Inland (the partner is in Canada, often with the option of an open work permit) and outland (processed through a visa office abroad, usually with more freedom to travel). Each has trade-offs in timing, travel, and work authorization.</w:t>
      </w:r>
    </w:p>
    <w:p>
      <w:pPr>
        <w:pStyle w:val="ListParagraph"/>
        <w:numPr>
          <w:ilvl w:val="0"/>
          <w:numId w:val="6"/>
        </w:numPr>
      </w:pPr>
      <w:r>
        <w:t xml:space="preserve">Common-law partners generally need at least 12 consecutive months of living together.</w:t>
      </w:r>
    </w:p>
    <w:p>
      <w:pPr>
        <w:pStyle w:val="ListParagraph"/>
        <w:numPr>
          <w:ilvl w:val="0"/>
          <w:numId w:val="6"/>
        </w:numPr>
      </w:pPr>
      <w:r>
        <w:t xml:space="preserve">The central test is whether the relationship is genuine and continuing.</w:t>
      </w:r>
    </w:p>
    <w:p>
      <w:pPr>
        <w:pStyle w:val="ListParagraph"/>
        <w:numPr>
          <w:ilvl w:val="0"/>
          <w:numId w:val="6"/>
        </w:numPr>
      </w:pPr>
      <w:r>
        <w:t xml:space="preserve">Sponsorship and the open work permit are separate applications.</w:t>
      </w:r>
    </w:p>
    <w:p>
      <w:pPr>
        <w:pStyle w:val="Heading3"/>
      </w:pPr>
      <w:r>
        <w:t xml:space="preserve">Where these applications go wrong</w:t>
      </w:r>
    </w:p>
    <w:p>
      <w:pPr>
        <w:pStyle w:val="ListParagraph"/>
        <w:numPr>
          <w:ilvl w:val="0"/>
          <w:numId w:val="7"/>
        </w:numPr>
      </w:pPr>
      <w:r>
        <w:t xml:space="preserve">Thin or inconsistent relationship evidence, or a timeline that does not hold together.</w:t>
      </w:r>
    </w:p>
    <w:p>
      <w:pPr>
        <w:pStyle w:val="ListParagraph"/>
        <w:numPr>
          <w:ilvl w:val="0"/>
          <w:numId w:val="7"/>
        </w:numPr>
      </w:pPr>
      <w:r>
        <w:t xml:space="preserve">Choosing inland or outland without understanding the trade-offs for your situation.</w:t>
      </w:r>
    </w:p>
    <w:p>
      <w:pPr>
        <w:pStyle w:val="ListParagraph"/>
        <w:numPr>
          <w:ilvl w:val="0"/>
          <w:numId w:val="7"/>
        </w:numPr>
      </w:pPr>
      <w:r>
        <w:t xml:space="preserve">Unexplained gaps, a previous marriage not properly dissolved, or a prior sponsorship undertaking still in force.</w:t>
      </w:r>
    </w:p>
    <w:p>
      <w:pPr>
        <w:pStyle w:val="ListParagraph"/>
        <w:numPr>
          <w:ilvl w:val="0"/>
          <w:numId w:val="7"/>
        </w:numPr>
      </w:pPr>
      <w:r>
        <w:t xml:space="preserve">Sponsor eligibility problems, such as a default on a past undertaking, certain convictions, or receiving social assistance.</w:t>
      </w:r>
    </w:p>
    <w:p>
      <w:pPr>
        <w:pStyle w:val="Heading3"/>
      </w:pPr>
      <w:r>
        <w:t xml:space="preserve">How we help</w:t>
      </w:r>
    </w:p>
    <w:p>
      <w:pPr/>
      <w:r>
        <w:t xml:space="preserve">We confirm the sponsor's eligibility and the route that fits your situation, then organize your relationship history into a coherent, honest record: cohabitation, visits, communication, and shared finances. We explain anything that needs context, and where it applies we handle the separate open work permit so the timing works.</w:t>
      </w:r>
    </w:p>
    <w:p>
      <w:pPr>
        <w:pStyle w:val="Heading3"/>
      </w:pPr>
      <w:r>
        <w:t xml:space="preserve">FAQ</w:t>
      </w:r>
    </w:p>
    <w:p>
      <w:pPr/>
      <w:r>
        <w:rPr>
          <w:b/>
        </w:rPr>
        <w:t xml:space="preserve">Inland or outland, which is better?</w:t>
      </w:r>
      <w:r>
        <w:t xml:space="preserve"> It depends on where you live, your need to travel, and whether you want an open work permit. We weigh both for your case.</w:t>
      </w:r>
    </w:p>
    <w:p>
      <w:pPr/>
      <w:r>
        <w:rPr>
          <w:b/>
        </w:rPr>
        <w:t xml:space="preserve">How long must common-law partners live together?</w:t>
      </w:r>
      <w:r>
        <w:t xml:space="preserve"> At least 12 consecutive months in a conjugal relationship.</w:t>
      </w:r>
    </w:p>
    <w:p>
      <w:pPr/>
      <w:r>
        <w:rPr>
          <w:b/>
        </w:rPr>
        <w:t xml:space="preserve">Can my partner work while we wait?</w:t>
      </w:r>
      <w:r>
        <w:t xml:space="preserve"> Through a separate open work permit, if eligible, which is most common in inland cases.</w:t>
      </w:r>
    </w:p>
    <w:p>
      <w:pPr/>
      <w:r>
        <w:rPr>
          <w:b/>
        </w:rPr>
        <w:t xml:space="preserve">What evidence do we need?</w:t>
      </w:r>
      <w:r>
        <w:t xml:space="preserve"> Proof the relationship is genuine and ongoing, such as shared residence, joint finances, communication, and time spent together.</w:t>
      </w:r>
    </w:p>
    <w:p>
      <w:pPr/>
      <w:r>
        <w:rPr>
          <w:b/>
        </w:rPr>
        <w:t xml:space="preserve">Can I sponsor if I receive social assistance?</w:t>
      </w:r>
      <w:r>
        <w:t xml:space="preserve"> Generally not, except for disability. Sponsor eligibility has specific conditions we check first.</w:t>
      </w:r>
    </w:p>
    <w:p>
      <w:pPr>
        <w:pStyle w:val="Heading3"/>
      </w:pPr>
      <w:r>
        <w:t xml:space="preserve">Next step</w:t>
      </w:r>
    </w:p>
    <w:p>
      <w:pPr/>
      <w:r>
        <w:t xml:space="preserve">[Book an assessment] or [message us on WhatsApp] and we will confirm the sponsor's eligibility and the stronger route for your case.</w:t>
      </w:r>
    </w:p>
    <w:p>
      <w:pPr/>
      <w:r>
        <w:rPr>
          <w:i/>
        </w:rPr>
        <w:t xml:space="preserve">Build notes: slug /spousal-sponsorship; title tag "Spousal &amp; Common-Law Sponsorship Canada | Visazone"; meta "Sponsor your spouse or partner for Canadian PR: inland versus outland, the evidence that proves a genuine relationship, and sponsor eligibility."; internal links to Spousal Open Work Permit, Parents &amp; Grandparents Sponsorship, and Express Entry.</w:t>
      </w:r>
    </w:p>
    <w:p>
      <w:pPr>
        <w:pStyle w:val="Heading2"/>
      </w:pPr>
      <w:r>
        <w:t xml:space="preserve">Parents &amp; Grandparents Sponsorship</w:t>
      </w:r>
    </w:p>
    <w:p>
      <w:pPr/>
      <w:r>
        <w:rPr>
          <w:b/>
        </w:rPr>
        <w:t xml:space="preserve">The one-line answer:</w:t>
      </w:r>
      <w:r>
        <w:t xml:space="preserve"> The Parents and Grandparents Program lets eligible sponsors bring their parents or grandparents to Canada as permanent residents. As of October 2026, new intake is paused.</w:t>
      </w:r>
    </w:p>
    <w:p>
      <w:pPr/>
      <w:r>
        <w:t xml:space="preserve">With new applications on hold, the honest advice for most families right now is to plan around the super visa and get ready for the next round, rather than wait for a window that has no announced date.</w:t>
      </w:r>
    </w:p>
    <w:p>
      <w:pPr>
        <w:pStyle w:val="Heading3"/>
      </w:pPr>
      <w:r>
        <w:t xml:space="preserve">Current status and how it works</w:t>
      </w:r>
    </w:p>
    <w:p>
      <w:pPr>
        <w:pStyle w:val="ListParagraph"/>
        <w:numPr>
          <w:ilvl w:val="0"/>
          <w:numId w:val="8"/>
        </w:numPr>
      </w:pPr>
      <w:r>
        <w:t xml:space="preserve">As of October 2026, intake is paused. IRCC is not accepting new interest-to-sponsor forms or issuing new invitations until further notice, and existing applications continue to be processed. Confirm the current status before relying on this.</w:t>
      </w:r>
    </w:p>
    <w:p>
      <w:pPr>
        <w:pStyle w:val="ListParagraph"/>
        <w:numPr>
          <w:ilvl w:val="0"/>
          <w:numId w:val="8"/>
        </w:numPr>
      </w:pPr>
      <w:r>
        <w:t xml:space="preserve">When open, the program runs as a lottery. Sponsors submit an interest-to-sponsor form, and IRCC invites a limited number to apply.</w:t>
      </w:r>
    </w:p>
    <w:p>
      <w:pPr>
        <w:pStyle w:val="ListParagraph"/>
        <w:numPr>
          <w:ilvl w:val="0"/>
          <w:numId w:val="8"/>
        </w:numPr>
      </w:pPr>
      <w:r>
        <w:t xml:space="preserve">Sponsors must meet the Minimum Necessary Income (the Low Income Cut-Off plus 30 percent) for three consecutive tax years, and take on a long financial undertaking.</w:t>
      </w:r>
    </w:p>
    <w:p>
      <w:pPr>
        <w:pStyle w:val="ListParagraph"/>
        <w:numPr>
          <w:ilvl w:val="0"/>
          <w:numId w:val="8"/>
        </w:numPr>
      </w:pPr>
      <w:r>
        <w:t xml:space="preserve">The super visa is the practical alternative for long visits while intake is closed.</w:t>
      </w:r>
    </w:p>
    <w:p>
      <w:pPr>
        <w:pStyle w:val="Heading3"/>
      </w:pPr>
      <w:r>
        <w:t xml:space="preserve">Where these applications go wrong</w:t>
      </w:r>
    </w:p>
    <w:p>
      <w:pPr>
        <w:pStyle w:val="ListParagraph"/>
        <w:numPr>
          <w:ilvl w:val="0"/>
          <w:numId w:val="9"/>
        </w:numPr>
      </w:pPr>
      <w:r>
        <w:t xml:space="preserve">Missing the narrow interest-to-sponsor window when it does open.</w:t>
      </w:r>
    </w:p>
    <w:p>
      <w:pPr>
        <w:pStyle w:val="ListParagraph"/>
        <w:numPr>
          <w:ilvl w:val="0"/>
          <w:numId w:val="9"/>
        </w:numPr>
      </w:pPr>
      <w:r>
        <w:t xml:space="preserve">Not meeting the income threshold across all three required years, or miscounting family size.</w:t>
      </w:r>
    </w:p>
    <w:p>
      <w:pPr>
        <w:pStyle w:val="ListParagraph"/>
        <w:numPr>
          <w:ilvl w:val="0"/>
          <w:numId w:val="9"/>
        </w:numPr>
      </w:pPr>
      <w:r>
        <w:t xml:space="preserve">Thin proof of the relationship or of income.</w:t>
      </w:r>
    </w:p>
    <w:p>
      <w:pPr>
        <w:pStyle w:val="Heading3"/>
      </w:pPr>
      <w:r>
        <w:t xml:space="preserve">How we help</w:t>
      </w:r>
    </w:p>
    <w:p>
      <w:pPr/>
      <w:r>
        <w:t xml:space="preserve">With intake paused, we assess whether a super visa fits your family now, check whether you would meet the income test for a future round, and get your documents organized so you can move quickly the moment intake reopens. When it does, we handle the submission end to end.</w:t>
      </w:r>
    </w:p>
    <w:p>
      <w:pPr>
        <w:pStyle w:val="Heading3"/>
      </w:pPr>
      <w:r>
        <w:t xml:space="preserve">FAQ</w:t>
      </w:r>
    </w:p>
    <w:p>
      <w:pPr/>
      <w:r>
        <w:rPr>
          <w:b/>
        </w:rPr>
        <w:t xml:space="preserve">Can I apply now?</w:t>
      </w:r>
      <w:r>
        <w:t xml:space="preserve"> No. As of October 2026, new intake is paused.</w:t>
      </w:r>
    </w:p>
    <w:p>
      <w:pPr/>
      <w:r>
        <w:rPr>
          <w:b/>
        </w:rPr>
        <w:t xml:space="preserve">What can my parents do in the meantime?</w:t>
      </w:r>
      <w:r>
        <w:t xml:space="preserve"> A super visa allows long visits of up to five years at a time, with multiple entries over a validity of up to ten years.</w:t>
      </w:r>
    </w:p>
    <w:p>
      <w:pPr/>
      <w:r>
        <w:rPr>
          <w:b/>
        </w:rPr>
        <w:t xml:space="preserve">What income do I need?</w:t>
      </w:r>
      <w:r>
        <w:t xml:space="preserve"> When the program is open, the Minimum Necessary Income, which is the Low Income Cut-Off plus 30 percent, for the last three tax years.</w:t>
      </w:r>
    </w:p>
    <w:p>
      <w:pPr/>
      <w:r>
        <w:rPr>
          <w:b/>
        </w:rPr>
        <w:t xml:space="preserve">How are applicants chosen?</w:t>
      </w:r>
      <w:r>
        <w:t xml:space="preserve"> Through a lottery from the interest-to-sponsor pool when intake is open.</w:t>
      </w:r>
    </w:p>
    <w:p>
      <w:pPr/>
      <w:r>
        <w:rPr>
          <w:b/>
        </w:rPr>
        <w:t xml:space="preserve">Will it reopen?</w:t>
      </w:r>
      <w:r>
        <w:t xml:space="preserve"> IRCC has not announced a reopening date. We monitor it and will tell you when it changes.</w:t>
      </w:r>
    </w:p>
    <w:p>
      <w:pPr>
        <w:pStyle w:val="Heading3"/>
      </w:pPr>
      <w:r>
        <w:t xml:space="preserve">Next step</w:t>
      </w:r>
    </w:p>
    <w:p>
      <w:pPr/>
      <w:r>
        <w:t xml:space="preserve">[Book an assessment] or [message us on WhatsApp] and we will set up a super visa plan now and prepare you for the next sponsorship round.</w:t>
      </w:r>
    </w:p>
    <w:p>
      <w:pPr/>
      <w:r>
        <w:rPr>
          <w:i/>
        </w:rPr>
        <w:t xml:space="preserve">Build notes: slug /parents-grandparents-sponsorship; title tag "Parents &amp; Grandparents Sponsorship Canada 2026 | Visazone"; meta "Parents and grandparents sponsorship in 2026: intake is paused, what that means, the income test, and the super visa as the current alternative."; internal links to Super Visa and Spousal &amp; Common-Law Partner Sponsorship.</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Permanent Residence Service Pages 2026 Build</dc:title>
  <dc:description>Claude Docs node/8ab8ffee-5db2@5 docx-w6</dc:description>
  <cp:revision>5</cp:revision>
</cp:coreProperties>
</file>